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b/>
          <w:sz w:val="32"/>
          <w:szCs w:val="32"/>
        </w:rPr>
      </w:pPr>
      <w:r>
        <w:rPr>
          <w:rFonts w:cs="Times New Roman" w:ascii="Times New Roman" w:hAnsi="Times New Roman"/>
          <w:b/>
          <w:sz w:val="32"/>
          <w:szCs w:val="32"/>
        </w:rPr>
        <w:t>План подготовки к отопительному сезону 202</w:t>
      </w:r>
      <w:r>
        <w:rPr>
          <w:rFonts w:cs="Times New Roman" w:ascii="Times New Roman" w:hAnsi="Times New Roman"/>
          <w:b/>
          <w:sz w:val="32"/>
          <w:szCs w:val="32"/>
        </w:rPr>
        <w:t>6</w:t>
      </w:r>
      <w:r>
        <w:rPr>
          <w:rFonts w:cs="Times New Roman" w:ascii="Times New Roman" w:hAnsi="Times New Roman"/>
          <w:b/>
          <w:sz w:val="32"/>
          <w:szCs w:val="32"/>
        </w:rPr>
        <w:t>-202</w:t>
      </w:r>
      <w:r>
        <w:rPr>
          <w:rFonts w:cs="Times New Roman" w:ascii="Times New Roman" w:hAnsi="Times New Roman"/>
          <w:b/>
          <w:sz w:val="32"/>
          <w:szCs w:val="32"/>
        </w:rPr>
        <w:t>7</w:t>
      </w:r>
      <w:r>
        <w:rPr>
          <w:rFonts w:cs="Times New Roman" w:ascii="Times New Roman" w:hAnsi="Times New Roman"/>
          <w:b/>
          <w:sz w:val="32"/>
          <w:szCs w:val="32"/>
        </w:rPr>
        <w:t>гг.</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Настоящий план разработан в соответствии с требованиями:</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приказа Минэнерго России от 13.11.2024 N 2234;</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приказа Минэнерго России от 24 марта 2003 г. N 115;</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Федерального закона от 27 июля 2010 г. N 190-ФЗ "О теплоснабжении"</w:t>
      </w:r>
    </w:p>
    <w:p>
      <w:pPr>
        <w:pStyle w:val="Normal"/>
        <w:jc w:val="center"/>
        <w:rPr>
          <w:rFonts w:ascii="Times New Roman" w:hAnsi="Times New Roman" w:cs="Times New Roman"/>
          <w:b/>
          <w:b/>
          <w:sz w:val="20"/>
          <w:szCs w:val="20"/>
        </w:rPr>
      </w:pPr>
      <w:r>
        <w:rPr>
          <w:rFonts w:cs="Times New Roman" w:ascii="Times New Roman" w:hAnsi="Times New Roman"/>
          <w:b/>
          <w:sz w:val="20"/>
          <w:szCs w:val="20"/>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1. Общие положения</w:t>
      </w:r>
    </w:p>
    <w:tbl>
      <w:tblPr>
        <w:tblStyle w:val="a3"/>
        <w:tblW w:w="10348"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708"/>
        <w:gridCol w:w="5670"/>
        <w:gridCol w:w="3970"/>
      </w:tblGrid>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567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объекта</w:t>
            </w:r>
          </w:p>
        </w:tc>
        <w:tc>
          <w:tcPr>
            <w:tcW w:w="3970" w:type="dxa"/>
            <w:tcBorders/>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Москва, Алтуфьевское шоссе д. 89</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567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год постройки / ввода в эксплуатацию</w:t>
            </w:r>
          </w:p>
        </w:tc>
        <w:tc>
          <w:tcPr>
            <w:tcW w:w="397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1997</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567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площадь здания, м.кв.</w:t>
            </w:r>
          </w:p>
        </w:tc>
        <w:tc>
          <w:tcPr>
            <w:tcW w:w="397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22945,20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w:t>
            </w:r>
          </w:p>
        </w:tc>
        <w:tc>
          <w:tcPr>
            <w:tcW w:w="567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наличие подвала, подполья</w:t>
            </w:r>
          </w:p>
        </w:tc>
        <w:tc>
          <w:tcPr>
            <w:tcW w:w="397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имеется</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w:t>
            </w:r>
          </w:p>
        </w:tc>
        <w:tc>
          <w:tcPr>
            <w:tcW w:w="567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наличие элеватора/ теплового пункта</w:t>
            </w:r>
          </w:p>
        </w:tc>
        <w:tc>
          <w:tcPr>
            <w:tcW w:w="397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нет</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w:t>
            </w:r>
          </w:p>
        </w:tc>
        <w:tc>
          <w:tcPr>
            <w:tcW w:w="567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система отопления</w:t>
            </w:r>
          </w:p>
        </w:tc>
        <w:tc>
          <w:tcPr>
            <w:tcW w:w="397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закрытая</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w:t>
            </w:r>
          </w:p>
        </w:tc>
        <w:tc>
          <w:tcPr>
            <w:tcW w:w="567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схема отопления</w:t>
            </w:r>
          </w:p>
        </w:tc>
        <w:tc>
          <w:tcPr>
            <w:tcW w:w="397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двутрубная</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w:t>
            </w:r>
          </w:p>
        </w:tc>
        <w:tc>
          <w:tcPr>
            <w:tcW w:w="567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система ГВС</w:t>
            </w:r>
          </w:p>
        </w:tc>
        <w:tc>
          <w:tcPr>
            <w:tcW w:w="397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есть</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w:t>
            </w:r>
          </w:p>
        </w:tc>
        <w:tc>
          <w:tcPr>
            <w:tcW w:w="567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наличие оборудованного узла учета тепловой энергии</w:t>
            </w:r>
          </w:p>
        </w:tc>
        <w:tc>
          <w:tcPr>
            <w:tcW w:w="397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есть</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w:t>
            </w:r>
          </w:p>
        </w:tc>
        <w:tc>
          <w:tcPr>
            <w:tcW w:w="567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теплоснабжающая организация</w:t>
            </w:r>
          </w:p>
        </w:tc>
        <w:tc>
          <w:tcPr>
            <w:tcW w:w="397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r>
    </w:tbl>
    <w:p>
      <w:pPr>
        <w:pStyle w:val="Normal"/>
        <w:jc w:val="center"/>
        <w:rPr>
          <w:rFonts w:ascii="Times New Roman" w:hAnsi="Times New Roman" w:cs="Times New Roman"/>
          <w:b/>
          <w:b/>
        </w:rPr>
      </w:pPr>
      <w:r>
        <w:rPr>
          <w:rFonts w:cs="Times New Roman" w:ascii="Times New Roman" w:hAnsi="Times New Roman"/>
          <w:b/>
        </w:rPr>
        <w:t>2. Анализ прохождения трех прошлых отопительных периодов</w:t>
      </w:r>
    </w:p>
    <w:tbl>
      <w:tblPr>
        <w:tblStyle w:val="a3"/>
        <w:tblW w:w="10348"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708"/>
        <w:gridCol w:w="7089"/>
        <w:gridCol w:w="2551"/>
      </w:tblGrid>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продолжительность отопительного периода</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дни</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2022-2023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268</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2023-2024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208</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268</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средняя температура наружного воздуха отопительного периода</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2022-2023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-6,4</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2023-2024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-8,1</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-8,1</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объем потребленной тепловой энергии в отопительный период (при наличии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прибора учета)</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Гкал</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2022-2023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2972.829</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2023-2024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3064.223</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2701.285</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Случаи размораживания внутренней системы отопления</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2022-2023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2023-2024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случаи аварий / дефектов внутренней системы отопления</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2022-2023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2023-2024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особенности функционирования объектов теплоснабжения и их оборудования в</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отопительный период</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Случаи перерывов в поставке теплоносителя</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2022-2023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2023-2024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Случаи нарушения температурного режима тепловой энергии</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2022-2023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2023-2024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случаи снижения температурного режима тепловой энергии</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2022-2023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2023-2024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Количество случаев перерасчета платы из-за снижения качества/параметров</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услуги отопления</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2022-2023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2023-2024 </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70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089"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bl>
    <w:p>
      <w:pPr>
        <w:pStyle w:val="Normal"/>
        <w:rPr>
          <w:rFonts w:ascii="Times New Roman" w:hAnsi="Times New Roman" w:cs="Times New Roman"/>
          <w:b/>
          <w:b/>
          <w:sz w:val="20"/>
          <w:szCs w:val="20"/>
        </w:rPr>
      </w:pPr>
      <w:r>
        <w:rPr>
          <w:rFonts w:cs="Times New Roman" w:ascii="Times New Roman" w:hAnsi="Times New Roman"/>
          <w:b/>
          <w:sz w:val="20"/>
          <w:szCs w:val="20"/>
        </w:rPr>
      </w:r>
    </w:p>
    <w:p>
      <w:pPr>
        <w:pStyle w:val="Normal"/>
        <w:rPr>
          <w:rFonts w:ascii="Times New Roman" w:hAnsi="Times New Roman" w:cs="Times New Roman"/>
          <w:b/>
          <w:b/>
          <w:sz w:val="20"/>
          <w:szCs w:val="20"/>
        </w:rPr>
      </w:pPr>
      <w:r>
        <w:rPr>
          <w:rFonts w:cs="Times New Roman" w:ascii="Times New Roman" w:hAnsi="Times New Roman"/>
          <w:b/>
          <w:sz w:val="20"/>
          <w:szCs w:val="20"/>
        </w:rPr>
      </w:r>
    </w:p>
    <w:p>
      <w:pPr>
        <w:pStyle w:val="Normal"/>
        <w:rPr>
          <w:rFonts w:ascii="Times New Roman" w:hAnsi="Times New Roman" w:cs="Times New Roman"/>
          <w:b/>
          <w:b/>
        </w:rPr>
      </w:pPr>
      <w:r>
        <w:rPr>
          <w:rFonts w:cs="Times New Roman" w:ascii="Times New Roman" w:hAnsi="Times New Roman"/>
          <w:b/>
        </w:rPr>
        <w:t>3. Организационные и технические мероприятия по подготовке к отопительному периоду</w:t>
      </w:r>
    </w:p>
    <w:tbl>
      <w:tblPr>
        <w:tblStyle w:val="a3"/>
        <w:tblW w:w="10059"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695"/>
        <w:gridCol w:w="7867"/>
        <w:gridCol w:w="1497"/>
      </w:tblGrid>
      <w:tr>
        <w:trPr/>
        <w:tc>
          <w:tcPr>
            <w:tcW w:w="695"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7867"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наименование мероприятий, работ</w:t>
            </w:r>
          </w:p>
        </w:tc>
        <w:tc>
          <w:tcPr>
            <w:tcW w:w="1497"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r>
      <w:tr>
        <w:trPr/>
        <w:tc>
          <w:tcPr>
            <w:tcW w:w="695"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7867"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закрытие системы отопления</w:t>
            </w:r>
          </w:p>
        </w:tc>
        <w:tc>
          <w:tcPr>
            <w:tcW w:w="1497"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06 мая 2026</w:t>
            </w:r>
          </w:p>
        </w:tc>
      </w:tr>
      <w:tr>
        <w:trPr/>
        <w:tc>
          <w:tcPr>
            <w:tcW w:w="695"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7867"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Выполнить требования, установленные </w:t>
            </w:r>
            <w:r>
              <w:fldChar w:fldCharType="begin"/>
            </w:r>
            <w:r>
              <w:rPr>
                <w:sz w:val="20"/>
                <w:kern w:val="0"/>
                <w:szCs w:val="20"/>
                <w:rFonts w:eastAsia="Calibri" w:cs="Times New Roman" w:ascii="Times New Roman" w:hAnsi="Times New Roman"/>
                <w:color w:val="auto"/>
                <w:lang w:val="ru-RU" w:eastAsia="en-US" w:bidi="ar-SA"/>
              </w:rPr>
              <w:instrText xml:space="preserve"> HYPERLINK "https://normativ.kontur.ru/document?moduleId=1&amp;documentId=476930" \l "l1026" \n _blank</w:instrText>
            </w:r>
            <w:r>
              <w:rPr>
                <w:sz w:val="20"/>
                <w:kern w:val="0"/>
                <w:szCs w:val="20"/>
                <w:rFonts w:eastAsia="Calibri" w:cs="Times New Roman" w:ascii="Times New Roman" w:hAnsi="Times New Roman"/>
                <w:color w:val="auto"/>
                <w:lang w:val="ru-RU" w:eastAsia="en-US" w:bidi="ar-SA"/>
              </w:rPr>
              <w:fldChar w:fldCharType="separate"/>
            </w:r>
            <w:r>
              <w:rPr>
                <w:rFonts w:eastAsia="Calibri" w:cs="Times New Roman" w:ascii="Times New Roman" w:hAnsi="Times New Roman"/>
                <w:color w:val="auto"/>
                <w:kern w:val="0"/>
                <w:sz w:val="20"/>
                <w:szCs w:val="20"/>
                <w:lang w:val="ru-RU" w:eastAsia="en-US" w:bidi="ar-SA"/>
              </w:rPr>
              <w:t>частью 6</w:t>
            </w:r>
            <w:r>
              <w:rPr>
                <w:sz w:val="20"/>
                <w:kern w:val="0"/>
                <w:szCs w:val="20"/>
                <w:rFonts w:eastAsia="Calibri" w:cs="Times New Roman" w:ascii="Times New Roman" w:hAnsi="Times New Roman"/>
                <w:color w:val="auto"/>
                <w:lang w:val="ru-RU" w:eastAsia="en-US" w:bidi="ar-SA"/>
              </w:rPr>
              <w:fldChar w:fldCharType="end"/>
            </w:r>
            <w:r>
              <w:rPr>
                <w:rFonts w:eastAsia="Calibri" w:cs="Times New Roman" w:ascii="Times New Roman" w:hAnsi="Times New Roman"/>
                <w:kern w:val="0"/>
                <w:sz w:val="20"/>
                <w:szCs w:val="20"/>
                <w:lang w:val="ru-RU" w:eastAsia="en-US" w:bidi="ar-SA"/>
              </w:rPr>
              <w:t xml:space="preserve"> статьи 20 и </w:t>
            </w:r>
            <w:r>
              <w:fldChar w:fldCharType="begin"/>
            </w:r>
            <w:r>
              <w:rPr>
                <w:sz w:val="20"/>
                <w:kern w:val="0"/>
                <w:szCs w:val="20"/>
                <w:rFonts w:eastAsia="Calibri" w:cs="Times New Roman" w:ascii="Times New Roman" w:hAnsi="Times New Roman"/>
                <w:color w:val="auto"/>
                <w:lang w:val="ru-RU" w:eastAsia="en-US" w:bidi="ar-SA"/>
              </w:rPr>
              <w:instrText xml:space="preserve"> HYPERLINK "https://normativ.kontur.ru/document?moduleId=1&amp;documentId=476930" \l "l962" \n _blank</w:instrText>
            </w:r>
            <w:r>
              <w:rPr>
                <w:sz w:val="20"/>
                <w:kern w:val="0"/>
                <w:szCs w:val="20"/>
                <w:rFonts w:eastAsia="Calibri" w:cs="Times New Roman" w:ascii="Times New Roman" w:hAnsi="Times New Roman"/>
                <w:color w:val="auto"/>
                <w:lang w:val="ru-RU" w:eastAsia="en-US" w:bidi="ar-SA"/>
              </w:rPr>
              <w:fldChar w:fldCharType="separate"/>
            </w:r>
            <w:r>
              <w:rPr>
                <w:rFonts w:eastAsia="Calibri" w:cs="Times New Roman" w:ascii="Times New Roman" w:hAnsi="Times New Roman"/>
                <w:color w:val="auto"/>
                <w:kern w:val="0"/>
                <w:sz w:val="20"/>
                <w:szCs w:val="20"/>
                <w:lang w:val="ru-RU" w:eastAsia="en-US" w:bidi="ar-SA"/>
              </w:rPr>
              <w:t>частью 3</w:t>
            </w:r>
            <w:r>
              <w:rPr>
                <w:sz w:val="20"/>
                <w:kern w:val="0"/>
                <w:szCs w:val="20"/>
                <w:rFonts w:eastAsia="Calibri" w:cs="Times New Roman" w:ascii="Times New Roman" w:hAnsi="Times New Roman"/>
                <w:color w:val="auto"/>
                <w:lang w:val="ru-RU" w:eastAsia="en-US" w:bidi="ar-SA"/>
              </w:rPr>
              <w:fldChar w:fldCharType="end"/>
            </w:r>
            <w:r>
              <w:rPr>
                <w:rFonts w:eastAsia="Calibri" w:cs="Times New Roman" w:ascii="Times New Roman" w:hAnsi="Times New Roman"/>
                <w:kern w:val="0"/>
                <w:sz w:val="20"/>
                <w:szCs w:val="20"/>
                <w:lang w:val="ru-RU" w:eastAsia="en-US" w:bidi="ar-SA"/>
              </w:rPr>
              <w:t xml:space="preserve"> статьи 23.2 Федерального закона о теплоснабжении.</w:t>
            </w:r>
          </w:p>
        </w:tc>
        <w:tc>
          <w:tcPr>
            <w:tcW w:w="1497"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r>
      <w:tr>
        <w:trPr/>
        <w:tc>
          <w:tcPr>
            <w:tcW w:w="695"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7867"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Проведение проверки технического состояния здания и устранение неисправностей:</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 xml:space="preserve">- основных конструкций здания; </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кровельного покрытия здания; </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тепловой изоляции фасада здания; </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гидроизоляции цоколя и подвальных</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помещений»</w:t>
            </w:r>
          </w:p>
        </w:tc>
        <w:tc>
          <w:tcPr>
            <w:tcW w:w="1497"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июнь-август 2026</w:t>
            </w:r>
          </w:p>
        </w:tc>
      </w:tr>
      <w:tr>
        <w:trPr/>
        <w:tc>
          <w:tcPr>
            <w:tcW w:w="695"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w:t>
            </w:r>
          </w:p>
        </w:tc>
        <w:tc>
          <w:tcPr>
            <w:tcW w:w="7867"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w:t>
            </w:r>
          </w:p>
        </w:tc>
        <w:tc>
          <w:tcPr>
            <w:tcW w:w="1497"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r>
      <w:tr>
        <w:trPr/>
        <w:tc>
          <w:tcPr>
            <w:tcW w:w="695"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w:t>
            </w:r>
          </w:p>
        </w:tc>
        <w:tc>
          <w:tcPr>
            <w:tcW w:w="7867"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Подготовка системы отопления к проведению и проведение гидравлических испытаний на прочность и плотность внутренних систем теплорснабжения</w:t>
            </w:r>
          </w:p>
        </w:tc>
        <w:tc>
          <w:tcPr>
            <w:tcW w:w="1497"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31.07.2026</w:t>
            </w:r>
          </w:p>
        </w:tc>
      </w:tr>
      <w:tr>
        <w:trPr/>
        <w:tc>
          <w:tcPr>
            <w:tcW w:w="695"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w:t>
            </w:r>
          </w:p>
        </w:tc>
        <w:tc>
          <w:tcPr>
            <w:tcW w:w="7867"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осмотр отопительной системы: радиаторов, трубопровода</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теплопотребляющей энергоустановки</w:t>
            </w:r>
          </w:p>
        </w:tc>
        <w:tc>
          <w:tcPr>
            <w:tcW w:w="1497"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ежедневно</w:t>
            </w:r>
          </w:p>
        </w:tc>
      </w:tr>
      <w:tr>
        <w:trPr/>
        <w:tc>
          <w:tcPr>
            <w:tcW w:w="695"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w:t>
            </w:r>
          </w:p>
        </w:tc>
        <w:tc>
          <w:tcPr>
            <w:tcW w:w="7867"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Восстановление изоляции трубопровода системы отопления</w:t>
            </w:r>
          </w:p>
        </w:tc>
        <w:tc>
          <w:tcPr>
            <w:tcW w:w="1497"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31.08.2026</w:t>
            </w:r>
          </w:p>
        </w:tc>
      </w:tr>
      <w:tr>
        <w:trPr/>
        <w:tc>
          <w:tcPr>
            <w:tcW w:w="695"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w:t>
            </w:r>
          </w:p>
        </w:tc>
        <w:tc>
          <w:tcPr>
            <w:tcW w:w="7867"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Подготовка системы отопления к отопительному периоду 2025-2026</w:t>
            </w:r>
          </w:p>
        </w:tc>
        <w:tc>
          <w:tcPr>
            <w:tcW w:w="1497"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31.08.2026</w:t>
            </w:r>
          </w:p>
        </w:tc>
      </w:tr>
    </w:tbl>
    <w:p>
      <w:pPr>
        <w:pStyle w:val="Normal"/>
        <w:jc w:val="center"/>
        <w:rPr>
          <w:rFonts w:ascii="Times New Roman" w:hAnsi="Times New Roman" w:cs="Times New Roman"/>
          <w:b/>
          <w:b/>
          <w:sz w:val="24"/>
          <w:szCs w:val="24"/>
        </w:rPr>
      </w:pPr>
      <w:r>
        <w:rPr>
          <w:rFonts w:cs="Times New Roman" w:ascii="Times New Roman" w:hAnsi="Times New Roman"/>
          <w:b/>
          <w:sz w:val="24"/>
          <w:szCs w:val="24"/>
        </w:rPr>
        <w:t>4. Перечень документов, оформляемых в ходе подготовки к отопительному периоду</w:t>
      </w:r>
    </w:p>
    <w:tbl>
      <w:tblPr>
        <w:tblStyle w:val="a3"/>
        <w:tblW w:w="10059"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560"/>
        <w:gridCol w:w="8023"/>
        <w:gridCol w:w="1476"/>
      </w:tblGrid>
      <w:tr>
        <w:trPr/>
        <w:tc>
          <w:tcPr>
            <w:tcW w:w="56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t>
            </w:r>
          </w:p>
        </w:tc>
        <w:tc>
          <w:tcPr>
            <w:tcW w:w="8023"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перечень документов</w:t>
            </w:r>
          </w:p>
        </w:tc>
        <w:tc>
          <w:tcPr>
            <w:tcW w:w="1476"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срок выполнения</w:t>
            </w:r>
          </w:p>
        </w:tc>
      </w:tr>
      <w:tr>
        <w:trPr/>
        <w:tc>
          <w:tcPr>
            <w:tcW w:w="56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8023"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w:t>
            </w:r>
          </w:p>
        </w:tc>
        <w:tc>
          <w:tcPr>
            <w:tcW w:w="1476"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До </w:t>
            </w:r>
            <w:bookmarkStart w:id="0" w:name="_GoBack"/>
            <w:bookmarkEnd w:id="0"/>
            <w:r>
              <w:rPr>
                <w:rFonts w:eastAsia="Calibri" w:cs="Times New Roman" w:ascii="Times New Roman" w:hAnsi="Times New Roman"/>
                <w:kern w:val="0"/>
                <w:sz w:val="20"/>
                <w:szCs w:val="20"/>
                <w:lang w:val="ru-RU" w:eastAsia="en-US" w:bidi="ar-SA"/>
              </w:rPr>
              <w:t>28.07.2026</w:t>
            </w:r>
          </w:p>
        </w:tc>
      </w:tr>
      <w:tr>
        <w:trPr/>
        <w:tc>
          <w:tcPr>
            <w:tcW w:w="56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8023"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tc>
        <w:tc>
          <w:tcPr>
            <w:tcW w:w="1476"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01.08.2026</w:t>
            </w:r>
          </w:p>
        </w:tc>
      </w:tr>
      <w:tr>
        <w:trPr/>
        <w:tc>
          <w:tcPr>
            <w:tcW w:w="56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8023"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1476"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20.08.2026</w:t>
            </w:r>
          </w:p>
        </w:tc>
      </w:tr>
      <w:tr>
        <w:trPr/>
        <w:tc>
          <w:tcPr>
            <w:tcW w:w="56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w:t>
            </w:r>
          </w:p>
        </w:tc>
        <w:tc>
          <w:tcPr>
            <w:tcW w:w="8023"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476"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20.08.2026</w:t>
            </w:r>
          </w:p>
        </w:tc>
      </w:tr>
      <w:tr>
        <w:trPr/>
        <w:tc>
          <w:tcPr>
            <w:tcW w:w="56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w:t>
            </w:r>
          </w:p>
        </w:tc>
        <w:tc>
          <w:tcPr>
            <w:tcW w:w="8023"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получение паспорта готовности к отопительному периоду</w:t>
            </w:r>
          </w:p>
        </w:tc>
        <w:tc>
          <w:tcPr>
            <w:tcW w:w="1476"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15.09.2026</w:t>
            </w:r>
          </w:p>
        </w:tc>
      </w:tr>
    </w:tbl>
    <w:p>
      <w:pPr>
        <w:pStyle w:val="Normal"/>
        <w:jc w:val="center"/>
        <w:rPr>
          <w:rFonts w:ascii="Times New Roman" w:hAnsi="Times New Roman" w:cs="Times New Roman"/>
          <w:b/>
          <w:b/>
          <w:sz w:val="20"/>
          <w:szCs w:val="20"/>
        </w:rPr>
      </w:pPr>
      <w:r>
        <w:rPr>
          <w:rFonts w:cs="Times New Roman" w:ascii="Times New Roman" w:hAnsi="Times New Roman"/>
          <w:b/>
          <w:sz w:val="24"/>
          <w:szCs w:val="24"/>
        </w:rPr>
        <w:t>5. Подготовка к отопительному периоду теплового контура здания</w:t>
      </w:r>
    </w:p>
    <w:tbl>
      <w:tblPr>
        <w:tblStyle w:val="a3"/>
        <w:tblW w:w="10059"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560"/>
        <w:gridCol w:w="8023"/>
        <w:gridCol w:w="1476"/>
      </w:tblGrid>
      <w:tr>
        <w:trPr/>
        <w:tc>
          <w:tcPr>
            <w:tcW w:w="56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t>
            </w:r>
          </w:p>
        </w:tc>
        <w:tc>
          <w:tcPr>
            <w:tcW w:w="8023"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перечень мероприятий</w:t>
            </w:r>
          </w:p>
        </w:tc>
        <w:tc>
          <w:tcPr>
            <w:tcW w:w="1476"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срок выполнения</w:t>
            </w:r>
          </w:p>
        </w:tc>
      </w:tr>
      <w:tr>
        <w:trPr/>
        <w:tc>
          <w:tcPr>
            <w:tcW w:w="56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8023" w:type="dxa"/>
            <w:tcBorders/>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Ремонт монтажных (межпанельных) швов</w:t>
            </w:r>
          </w:p>
        </w:tc>
        <w:tc>
          <w:tcPr>
            <w:tcW w:w="1476"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локально</w:t>
            </w:r>
          </w:p>
        </w:tc>
      </w:tr>
      <w:tr>
        <w:trPr/>
        <w:tc>
          <w:tcPr>
            <w:tcW w:w="56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8023" w:type="dxa"/>
            <w:tcBorders/>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Замена контурного уплотнителя входных дверей</w:t>
            </w:r>
          </w:p>
        </w:tc>
        <w:tc>
          <w:tcPr>
            <w:tcW w:w="1476"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локально</w:t>
            </w:r>
          </w:p>
        </w:tc>
      </w:tr>
      <w:tr>
        <w:trPr/>
        <w:tc>
          <w:tcPr>
            <w:tcW w:w="56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8023" w:type="dxa"/>
            <w:tcBorders/>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Ремонт кровли</w:t>
            </w:r>
          </w:p>
        </w:tc>
        <w:tc>
          <w:tcPr>
            <w:tcW w:w="1476"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локально</w:t>
            </w:r>
          </w:p>
        </w:tc>
      </w:tr>
      <w:tr>
        <w:trPr/>
        <w:tc>
          <w:tcPr>
            <w:tcW w:w="56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w:t>
            </w:r>
          </w:p>
        </w:tc>
        <w:tc>
          <w:tcPr>
            <w:tcW w:w="8023" w:type="dxa"/>
            <w:tcBorders/>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Ремонт оконных рам </w:t>
            </w:r>
          </w:p>
        </w:tc>
        <w:tc>
          <w:tcPr>
            <w:tcW w:w="1476"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локально</w:t>
            </w:r>
          </w:p>
        </w:tc>
      </w:tr>
      <w:tr>
        <w:trPr/>
        <w:tc>
          <w:tcPr>
            <w:tcW w:w="56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w:t>
            </w:r>
          </w:p>
        </w:tc>
        <w:tc>
          <w:tcPr>
            <w:tcW w:w="8023" w:type="dxa"/>
            <w:tcBorders/>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Ремонт балконных плит</w:t>
            </w:r>
          </w:p>
        </w:tc>
        <w:tc>
          <w:tcPr>
            <w:tcW w:w="1476"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локально</w:t>
            </w:r>
          </w:p>
        </w:tc>
      </w:tr>
      <w:tr>
        <w:trPr/>
        <w:tc>
          <w:tcPr>
            <w:tcW w:w="560"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w:t>
            </w:r>
          </w:p>
        </w:tc>
        <w:tc>
          <w:tcPr>
            <w:tcW w:w="8023" w:type="dxa"/>
            <w:tcBorders/>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Заполнение подвальных продухов</w:t>
            </w:r>
          </w:p>
        </w:tc>
        <w:tc>
          <w:tcPr>
            <w:tcW w:w="1476" w:type="dxa"/>
            <w:tcBorders/>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05.09.2026</w:t>
            </w:r>
          </w:p>
        </w:tc>
      </w:tr>
    </w:tbl>
    <w:p>
      <w:pPr>
        <w:pStyle w:val="Normal"/>
        <w:jc w:val="center"/>
        <w:rPr>
          <w:rFonts w:ascii="Times New Roman" w:hAnsi="Times New Roman" w:cs="Times New Roman"/>
          <w:b/>
          <w:b/>
          <w:sz w:val="32"/>
          <w:szCs w:val="32"/>
        </w:rPr>
      </w:pPr>
      <w:r>
        <w:rPr>
          <w:rFonts w:cs="Times New Roman" w:ascii="Times New Roman" w:hAnsi="Times New Roman"/>
          <w:b/>
          <w:sz w:val="32"/>
          <w:szCs w:val="32"/>
        </w:rPr>
      </w:r>
    </w:p>
    <w:p>
      <w:pPr>
        <w:pStyle w:val="Normal"/>
        <w:jc w:val="center"/>
        <w:rPr>
          <w:rFonts w:ascii="Times New Roman" w:hAnsi="Times New Roman" w:cs="Times New Roman"/>
          <w:b/>
          <w:b/>
          <w:sz w:val="32"/>
          <w:szCs w:val="32"/>
        </w:rPr>
      </w:pPr>
      <w:r>
        <w:rPr>
          <w:rFonts w:cs="Times New Roman" w:ascii="Times New Roman" w:hAnsi="Times New Roman"/>
          <w:b/>
          <w:sz w:val="32"/>
          <w:szCs w:val="32"/>
        </w:rPr>
      </w:r>
    </w:p>
    <w:p>
      <w:pPr>
        <w:pStyle w:val="Normal"/>
        <w:spacing w:before="0" w:after="160"/>
        <w:jc w:val="center"/>
        <w:rPr>
          <w:rFonts w:ascii="Times New Roman" w:hAnsi="Times New Roman" w:cs="Times New Roman"/>
          <w:b/>
          <w:b/>
          <w:sz w:val="32"/>
          <w:szCs w:val="32"/>
        </w:rPr>
      </w:pPr>
      <w:r>
        <w:rPr/>
      </w:r>
    </w:p>
    <w:sectPr>
      <w:type w:val="nextPage"/>
      <w:pgSz w:w="11906" w:h="16838"/>
      <w:pgMar w:left="1701" w:right="850" w:gutter="0" w:header="0" w:top="709"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6794"/>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3e759a"/>
    <w:rPr>
      <w:color w:val="0563C1" w:themeColor="hyperlink"/>
      <w:u w:val="single"/>
    </w:rPr>
  </w:style>
  <w:style w:type="character" w:styleId="Style15" w:customStyle="1">
    <w:name w:val="Текст выноски Знак"/>
    <w:basedOn w:val="DefaultParagraphFont"/>
    <w:link w:val="BalloonText"/>
    <w:uiPriority w:val="99"/>
    <w:semiHidden/>
    <w:qFormat/>
    <w:rsid w:val="00cf4219"/>
    <w:rPr>
      <w:rFonts w:ascii="Segoe UI" w:hAnsi="Segoe UI" w:cs="Segoe UI"/>
      <w:sz w:val="18"/>
      <w:szCs w:val="18"/>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BalloonText">
    <w:name w:val="Balloon Text"/>
    <w:basedOn w:val="Normal"/>
    <w:link w:val="Style15"/>
    <w:uiPriority w:val="99"/>
    <w:semiHidden/>
    <w:unhideWhenUsed/>
    <w:qFormat/>
    <w:rsid w:val="00cf421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0111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Application>LibreOffice/7.3.7.2$Linux_X86_64 LibreOffice_project/30$Build-2</Application>
  <AppVersion>15.0000</AppVersion>
  <Pages>3</Pages>
  <Words>642</Words>
  <Characters>4495</Characters>
  <CharactersWithSpaces>4977</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2026-05-05T07:17:00Z</dcterms:created>
  <dc:creator>Пользователь</dc:creator>
  <dc:description/>
  <dc:language>ru-RU</dc:language>
  <cp:lastModifiedBy/>
  <cp:lastPrinted>2025-04-30T06:31:00Z</cp:lastPrinted>
  <dcterms:modified xsi:type="dcterms:W3CDTF">2026-05-28T11:12:30Z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